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153D2C" w:rsidP="00153D2C" w14:paraId="5D4F9E66" w14:textId="77777777">
      <w:pPr>
        <w:spacing w:line="360" w:lineRule="auto"/>
        <w:ind w:firstLine="720"/>
        <w:jc w:val="center"/>
        <w:rPr>
          <w:rFonts w:ascii="Times New Roman" w:hAnsi="Times New Roman" w:cs="Times New Roman"/>
          <w:sz w:val="24"/>
          <w:szCs w:val="24"/>
        </w:rPr>
      </w:pPr>
    </w:p>
    <w:p w:rsidR="00153D2C" w:rsidP="00153D2C" w14:paraId="125F7F8B" w14:textId="77777777">
      <w:pPr>
        <w:spacing w:line="360" w:lineRule="auto"/>
        <w:ind w:firstLine="720"/>
        <w:jc w:val="center"/>
        <w:rPr>
          <w:rFonts w:ascii="Times New Roman" w:hAnsi="Times New Roman" w:cs="Times New Roman"/>
          <w:sz w:val="24"/>
          <w:szCs w:val="24"/>
        </w:rPr>
      </w:pPr>
    </w:p>
    <w:p w:rsidR="00153D2C" w:rsidP="00153D2C" w14:paraId="1F2AC400" w14:textId="77777777">
      <w:pPr>
        <w:spacing w:line="360" w:lineRule="auto"/>
        <w:ind w:firstLine="720"/>
        <w:jc w:val="center"/>
        <w:rPr>
          <w:rFonts w:ascii="Times New Roman" w:hAnsi="Times New Roman" w:cs="Times New Roman"/>
          <w:sz w:val="24"/>
          <w:szCs w:val="24"/>
        </w:rPr>
      </w:pPr>
    </w:p>
    <w:p w:rsidR="00153D2C" w:rsidP="00153D2C" w14:paraId="1DA94A8A" w14:textId="77777777">
      <w:pPr>
        <w:spacing w:line="360" w:lineRule="auto"/>
        <w:ind w:firstLine="720"/>
        <w:jc w:val="center"/>
        <w:rPr>
          <w:rFonts w:ascii="Times New Roman" w:hAnsi="Times New Roman" w:cs="Times New Roman"/>
          <w:sz w:val="24"/>
          <w:szCs w:val="24"/>
        </w:rPr>
      </w:pPr>
    </w:p>
    <w:p w:rsidR="00153D2C" w:rsidP="00153D2C" w14:paraId="68B5ACA2" w14:textId="77777777">
      <w:pPr>
        <w:spacing w:line="360" w:lineRule="auto"/>
        <w:ind w:firstLine="720"/>
        <w:jc w:val="center"/>
        <w:rPr>
          <w:rFonts w:ascii="Times New Roman" w:hAnsi="Times New Roman" w:cs="Times New Roman"/>
          <w:sz w:val="24"/>
          <w:szCs w:val="24"/>
        </w:rPr>
      </w:pPr>
    </w:p>
    <w:p w:rsidR="00153D2C" w:rsidP="00153D2C" w14:paraId="25D311AB" w14:textId="77777777">
      <w:pPr>
        <w:spacing w:line="360" w:lineRule="auto"/>
        <w:ind w:firstLine="720"/>
        <w:jc w:val="center"/>
        <w:rPr>
          <w:rFonts w:ascii="Times New Roman" w:hAnsi="Times New Roman" w:cs="Times New Roman"/>
          <w:sz w:val="24"/>
          <w:szCs w:val="24"/>
        </w:rPr>
      </w:pPr>
    </w:p>
    <w:p w:rsidR="00153D2C" w:rsidRPr="00153D2C" w:rsidP="00153D2C" w14:paraId="2778013F" w14:textId="1CACA217">
      <w:pPr>
        <w:spacing w:line="360" w:lineRule="auto"/>
        <w:ind w:firstLine="720"/>
        <w:jc w:val="center"/>
        <w:rPr>
          <w:rFonts w:ascii="Times New Roman" w:hAnsi="Times New Roman" w:cs="Times New Roman"/>
          <w:sz w:val="24"/>
          <w:szCs w:val="24"/>
        </w:rPr>
      </w:pPr>
      <w:r w:rsidRPr="00153D2C">
        <w:rPr>
          <w:rFonts w:ascii="Times New Roman" w:hAnsi="Times New Roman" w:cs="Times New Roman"/>
          <w:sz w:val="24"/>
          <w:szCs w:val="24"/>
        </w:rPr>
        <w:t>Article summary</w:t>
      </w:r>
    </w:p>
    <w:p w:rsidR="00153D2C" w:rsidRPr="00153D2C" w:rsidP="00153D2C" w14:paraId="4593EA51" w14:textId="77777777">
      <w:pPr>
        <w:spacing w:line="360" w:lineRule="auto"/>
        <w:ind w:firstLine="720"/>
        <w:jc w:val="center"/>
        <w:rPr>
          <w:rFonts w:ascii="Times New Roman" w:hAnsi="Times New Roman" w:cs="Times New Roman"/>
          <w:sz w:val="24"/>
          <w:szCs w:val="24"/>
        </w:rPr>
      </w:pPr>
      <w:r w:rsidRPr="00153D2C">
        <w:rPr>
          <w:rFonts w:ascii="Times New Roman" w:hAnsi="Times New Roman" w:cs="Times New Roman"/>
          <w:sz w:val="24"/>
          <w:szCs w:val="24"/>
        </w:rPr>
        <w:t>Institutional affiliation</w:t>
      </w:r>
    </w:p>
    <w:p w:rsidR="00153D2C" w:rsidRPr="00153D2C" w:rsidP="00153D2C" w14:paraId="00D2AF2D" w14:textId="35767BE3">
      <w:pPr>
        <w:spacing w:line="360" w:lineRule="auto"/>
        <w:ind w:firstLine="720"/>
        <w:jc w:val="center"/>
        <w:rPr>
          <w:rFonts w:ascii="Times New Roman" w:hAnsi="Times New Roman" w:cs="Times New Roman"/>
          <w:sz w:val="24"/>
          <w:szCs w:val="24"/>
        </w:rPr>
      </w:pPr>
      <w:r w:rsidRPr="00153D2C">
        <w:rPr>
          <w:rFonts w:ascii="Times New Roman" w:hAnsi="Times New Roman" w:cs="Times New Roman"/>
          <w:sz w:val="24"/>
          <w:szCs w:val="24"/>
        </w:rPr>
        <w:t>Student’s name</w:t>
      </w:r>
    </w:p>
    <w:p w:rsidR="00153D2C" w:rsidRPr="00153D2C" w:rsidP="00153D2C" w14:paraId="377242B9" w14:textId="1D7B94A6">
      <w:pPr>
        <w:spacing w:line="360" w:lineRule="auto"/>
        <w:ind w:firstLine="720"/>
        <w:jc w:val="center"/>
        <w:rPr>
          <w:rFonts w:ascii="Times New Roman" w:hAnsi="Times New Roman" w:cs="Times New Roman"/>
          <w:sz w:val="24"/>
          <w:szCs w:val="24"/>
        </w:rPr>
      </w:pPr>
      <w:r w:rsidRPr="00153D2C">
        <w:rPr>
          <w:rFonts w:ascii="Times New Roman" w:hAnsi="Times New Roman" w:cs="Times New Roman"/>
          <w:sz w:val="24"/>
          <w:szCs w:val="24"/>
        </w:rPr>
        <w:t>Date</w:t>
      </w:r>
    </w:p>
    <w:p w:rsidR="00153D2C" w14:paraId="75EC64CC"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4A21F3" w:rsidRPr="00C44870" w:rsidP="00153D2C" w14:paraId="12D31C23" w14:textId="530B5C9A">
      <w:pPr>
        <w:rPr>
          <w:rFonts w:ascii="Times New Roman" w:hAnsi="Times New Roman" w:cs="Times New Roman"/>
          <w:b/>
          <w:bCs/>
          <w:sz w:val="24"/>
          <w:szCs w:val="24"/>
        </w:rPr>
      </w:pPr>
      <w:r w:rsidRPr="00C44870">
        <w:rPr>
          <w:rFonts w:ascii="Times New Roman" w:hAnsi="Times New Roman" w:cs="Times New Roman"/>
          <w:b/>
          <w:bCs/>
          <w:sz w:val="24"/>
          <w:szCs w:val="24"/>
        </w:rPr>
        <w:t xml:space="preserve">Abstract </w:t>
      </w:r>
    </w:p>
    <w:p w:rsidR="00E63A8B" w:rsidRPr="00C44870" w:rsidP="00C44870" w14:paraId="05A3C52F" w14:textId="2DF3A72D">
      <w:pPr>
        <w:spacing w:line="360" w:lineRule="auto"/>
        <w:ind w:firstLine="720"/>
        <w:rPr>
          <w:rFonts w:ascii="Times New Roman" w:hAnsi="Times New Roman" w:cs="Times New Roman"/>
          <w:sz w:val="24"/>
          <w:szCs w:val="24"/>
        </w:rPr>
      </w:pPr>
      <w:r w:rsidRPr="00C44870">
        <w:rPr>
          <w:rFonts w:ascii="Times New Roman" w:hAnsi="Times New Roman" w:cs="Times New Roman"/>
          <w:sz w:val="24"/>
          <w:szCs w:val="24"/>
        </w:rPr>
        <w:t>This article addresses the teaching of legal research methods and doctrinal analysis within a legal studies program. I</w:t>
      </w:r>
      <w:r w:rsidRPr="00C44870" w:rsidR="0067701F">
        <w:rPr>
          <w:rFonts w:ascii="Times New Roman" w:hAnsi="Times New Roman" w:cs="Times New Roman"/>
          <w:sz w:val="24"/>
          <w:szCs w:val="24"/>
        </w:rPr>
        <w:t>t</w:t>
      </w:r>
      <w:r w:rsidRPr="00C44870">
        <w:rPr>
          <w:rFonts w:ascii="Times New Roman" w:hAnsi="Times New Roman" w:cs="Times New Roman"/>
          <w:sz w:val="24"/>
          <w:szCs w:val="24"/>
        </w:rPr>
        <w:t xml:space="preserve"> </w:t>
      </w:r>
      <w:r w:rsidRPr="00C44870" w:rsidR="0067701F">
        <w:rPr>
          <w:rFonts w:ascii="Times New Roman" w:hAnsi="Times New Roman" w:cs="Times New Roman"/>
          <w:sz w:val="24"/>
          <w:szCs w:val="24"/>
        </w:rPr>
        <w:t>argues</w:t>
      </w:r>
      <w:r w:rsidRPr="00C44870">
        <w:rPr>
          <w:rFonts w:ascii="Times New Roman" w:hAnsi="Times New Roman" w:cs="Times New Roman"/>
          <w:sz w:val="24"/>
          <w:szCs w:val="24"/>
        </w:rPr>
        <w:t xml:space="preserve"> that learning about legal research and doctrinal analysis is an essential element of legal education outside professional law schools. I</w:t>
      </w:r>
      <w:r w:rsidRPr="00C44870" w:rsidR="0067701F">
        <w:rPr>
          <w:rFonts w:ascii="Times New Roman" w:hAnsi="Times New Roman" w:cs="Times New Roman"/>
          <w:sz w:val="24"/>
          <w:szCs w:val="24"/>
        </w:rPr>
        <w:t>t</w:t>
      </w:r>
      <w:r w:rsidRPr="00C44870">
        <w:rPr>
          <w:rFonts w:ascii="Times New Roman" w:hAnsi="Times New Roman" w:cs="Times New Roman"/>
          <w:sz w:val="24"/>
          <w:szCs w:val="24"/>
        </w:rPr>
        <w:t xml:space="preserve"> </w:t>
      </w:r>
      <w:r w:rsidRPr="00C44870" w:rsidR="0067701F">
        <w:rPr>
          <w:rFonts w:ascii="Times New Roman" w:hAnsi="Times New Roman" w:cs="Times New Roman"/>
          <w:sz w:val="24"/>
          <w:szCs w:val="24"/>
        </w:rPr>
        <w:t>starts</w:t>
      </w:r>
      <w:r w:rsidRPr="00C44870">
        <w:rPr>
          <w:rFonts w:ascii="Times New Roman" w:hAnsi="Times New Roman" w:cs="Times New Roman"/>
          <w:sz w:val="24"/>
          <w:szCs w:val="24"/>
        </w:rPr>
        <w:t xml:space="preserve"> by considering the ongoing debate concerning the role of legal education both inside and outside professional law schools.</w:t>
      </w:r>
      <w:r w:rsidRPr="00C44870" w:rsidR="0067701F">
        <w:rPr>
          <w:rFonts w:ascii="Times New Roman" w:hAnsi="Times New Roman" w:cs="Times New Roman"/>
          <w:sz w:val="24"/>
          <w:szCs w:val="24"/>
        </w:rPr>
        <w:t xml:space="preserve"> </w:t>
      </w:r>
      <w:r w:rsidRPr="00C44870" w:rsidR="0047136D">
        <w:rPr>
          <w:rFonts w:ascii="Times New Roman" w:hAnsi="Times New Roman" w:cs="Times New Roman"/>
          <w:sz w:val="24"/>
          <w:szCs w:val="24"/>
        </w:rPr>
        <w:t xml:space="preserve">(Al </w:t>
      </w:r>
      <w:r w:rsidRPr="00C44870" w:rsidR="0047136D">
        <w:rPr>
          <w:rFonts w:ascii="Times New Roman" w:hAnsi="Times New Roman" w:cs="Times New Roman"/>
          <w:sz w:val="24"/>
          <w:szCs w:val="24"/>
        </w:rPr>
        <w:t>Amaren</w:t>
      </w:r>
      <w:r w:rsidRPr="00C44870" w:rsidR="0047136D">
        <w:rPr>
          <w:rFonts w:ascii="Times New Roman" w:hAnsi="Times New Roman" w:cs="Times New Roman"/>
          <w:sz w:val="24"/>
          <w:szCs w:val="24"/>
        </w:rPr>
        <w:t xml:space="preserve"> &amp; </w:t>
      </w:r>
      <w:r w:rsidRPr="00C44870" w:rsidR="0047136D">
        <w:rPr>
          <w:rFonts w:ascii="Times New Roman" w:hAnsi="Times New Roman" w:cs="Times New Roman"/>
          <w:sz w:val="24"/>
          <w:szCs w:val="24"/>
        </w:rPr>
        <w:t>Indriyani</w:t>
      </w:r>
      <w:r w:rsidRPr="00C44870" w:rsidR="0047136D">
        <w:rPr>
          <w:rFonts w:ascii="Times New Roman" w:hAnsi="Times New Roman" w:cs="Times New Roman"/>
          <w:sz w:val="24"/>
          <w:szCs w:val="24"/>
        </w:rPr>
        <w:t>, 2019) Then</w:t>
      </w:r>
      <w:r w:rsidRPr="00C44870" w:rsidR="0067701F">
        <w:rPr>
          <w:rFonts w:ascii="Times New Roman" w:hAnsi="Times New Roman" w:cs="Times New Roman"/>
          <w:sz w:val="24"/>
          <w:szCs w:val="24"/>
        </w:rPr>
        <w:t xml:space="preserve"> it describes</w:t>
      </w:r>
      <w:r w:rsidRPr="00C44870">
        <w:rPr>
          <w:rFonts w:ascii="Times New Roman" w:hAnsi="Times New Roman" w:cs="Times New Roman"/>
          <w:sz w:val="24"/>
          <w:szCs w:val="24"/>
        </w:rPr>
        <w:t xml:space="preserve"> how the research methods course off erred by the Department of Law and Legal Studies at Carleton University attempt to reconcile the tension between law</w:t>
      </w:r>
      <w:r w:rsidRPr="00C44870" w:rsidR="00EF150D">
        <w:rPr>
          <w:rFonts w:ascii="Times New Roman" w:hAnsi="Times New Roman" w:cs="Times New Roman"/>
          <w:sz w:val="24"/>
          <w:szCs w:val="24"/>
        </w:rPr>
        <w:t xml:space="preserve"> </w:t>
      </w:r>
      <w:r w:rsidRPr="00C44870">
        <w:rPr>
          <w:rFonts w:ascii="Times New Roman" w:hAnsi="Times New Roman" w:cs="Times New Roman"/>
          <w:sz w:val="24"/>
          <w:szCs w:val="24"/>
        </w:rPr>
        <w:t xml:space="preserve">and legal studies. In particular, </w:t>
      </w:r>
      <w:r w:rsidRPr="00C44870" w:rsidR="0067701F">
        <w:rPr>
          <w:rFonts w:ascii="Times New Roman" w:hAnsi="Times New Roman" w:cs="Times New Roman"/>
          <w:sz w:val="24"/>
          <w:szCs w:val="24"/>
        </w:rPr>
        <w:t>it</w:t>
      </w:r>
      <w:r w:rsidRPr="00C44870">
        <w:rPr>
          <w:rFonts w:ascii="Times New Roman" w:hAnsi="Times New Roman" w:cs="Times New Roman"/>
          <w:sz w:val="24"/>
          <w:szCs w:val="24"/>
        </w:rPr>
        <w:t xml:space="preserve"> </w:t>
      </w:r>
      <w:r w:rsidRPr="00C44870" w:rsidR="0067701F">
        <w:rPr>
          <w:rFonts w:ascii="Times New Roman" w:hAnsi="Times New Roman" w:cs="Times New Roman"/>
          <w:sz w:val="24"/>
          <w:szCs w:val="24"/>
        </w:rPr>
        <w:t>focuses</w:t>
      </w:r>
      <w:r w:rsidRPr="00C44870">
        <w:rPr>
          <w:rFonts w:ascii="Times New Roman" w:hAnsi="Times New Roman" w:cs="Times New Roman"/>
          <w:sz w:val="24"/>
          <w:szCs w:val="24"/>
        </w:rPr>
        <w:t xml:space="preserve"> on how the second-year research methods course introduces students to traditional legal research and doctrinal analysis within a legal studies context by deploying some intellectual strategies. The system provides students with an essential foundation to embrace the multiple roles of legal education outside professional law schools. Keywords: teaching, pedagogy, doctrinal, undergraduate.</w:t>
      </w:r>
    </w:p>
    <w:p w:rsidR="004A21F3" w:rsidRPr="00C44870" w:rsidP="00C44870" w14:paraId="618DD692" w14:textId="77777777">
      <w:pPr>
        <w:spacing w:line="360" w:lineRule="auto"/>
        <w:ind w:firstLine="720"/>
        <w:rPr>
          <w:rFonts w:ascii="Times New Roman" w:hAnsi="Times New Roman" w:cs="Times New Roman"/>
          <w:b/>
          <w:bCs/>
          <w:sz w:val="24"/>
          <w:szCs w:val="24"/>
        </w:rPr>
      </w:pPr>
      <w:r w:rsidRPr="00C44870">
        <w:rPr>
          <w:rFonts w:ascii="Times New Roman" w:hAnsi="Times New Roman" w:cs="Times New Roman"/>
          <w:b/>
          <w:bCs/>
          <w:sz w:val="24"/>
          <w:szCs w:val="24"/>
        </w:rPr>
        <w:t xml:space="preserve">Introduction </w:t>
      </w:r>
    </w:p>
    <w:p w:rsidR="004A21F3" w:rsidRPr="00C44870" w:rsidP="00C44870" w14:paraId="24CF0E7F" w14:textId="6CC2DEDB">
      <w:pPr>
        <w:spacing w:line="360" w:lineRule="auto"/>
        <w:ind w:firstLine="720"/>
        <w:rPr>
          <w:rFonts w:ascii="Times New Roman" w:hAnsi="Times New Roman" w:cs="Times New Roman"/>
          <w:sz w:val="24"/>
          <w:szCs w:val="24"/>
        </w:rPr>
      </w:pPr>
      <w:r w:rsidRPr="00C44870">
        <w:rPr>
          <w:rFonts w:ascii="Times New Roman" w:hAnsi="Times New Roman" w:cs="Times New Roman"/>
          <w:sz w:val="24"/>
          <w:szCs w:val="24"/>
        </w:rPr>
        <w:t xml:space="preserve">This article discusses why and how learning about legal research, and doctrinal analysis can be essential for legal </w:t>
      </w:r>
      <w:r w:rsidRPr="00C44870" w:rsidR="00D40077">
        <w:rPr>
          <w:rFonts w:ascii="Times New Roman" w:hAnsi="Times New Roman" w:cs="Times New Roman"/>
          <w:sz w:val="24"/>
          <w:szCs w:val="24"/>
        </w:rPr>
        <w:t>1</w:t>
      </w:r>
      <w:r w:rsidRPr="00C44870">
        <w:rPr>
          <w:rFonts w:ascii="Times New Roman" w:hAnsi="Times New Roman" w:cs="Times New Roman"/>
          <w:sz w:val="24"/>
          <w:szCs w:val="24"/>
        </w:rPr>
        <w:t>education outside professional law schools. I</w:t>
      </w:r>
      <w:r w:rsidRPr="00C44870" w:rsidR="0067701F">
        <w:rPr>
          <w:rFonts w:ascii="Times New Roman" w:hAnsi="Times New Roman" w:cs="Times New Roman"/>
          <w:sz w:val="24"/>
          <w:szCs w:val="24"/>
        </w:rPr>
        <w:t xml:space="preserve">t </w:t>
      </w:r>
      <w:r w:rsidRPr="00C44870">
        <w:rPr>
          <w:rFonts w:ascii="Times New Roman" w:hAnsi="Times New Roman" w:cs="Times New Roman"/>
          <w:sz w:val="24"/>
          <w:szCs w:val="24"/>
        </w:rPr>
        <w:t>note</w:t>
      </w:r>
      <w:r w:rsidRPr="00C44870" w:rsidR="0067701F">
        <w:rPr>
          <w:rFonts w:ascii="Times New Roman" w:hAnsi="Times New Roman" w:cs="Times New Roman"/>
          <w:sz w:val="24"/>
          <w:szCs w:val="24"/>
        </w:rPr>
        <w:t xml:space="preserve">d that </w:t>
      </w:r>
      <w:r w:rsidRPr="00C44870">
        <w:rPr>
          <w:rFonts w:ascii="Times New Roman" w:hAnsi="Times New Roman" w:cs="Times New Roman"/>
          <w:sz w:val="24"/>
          <w:szCs w:val="24"/>
        </w:rPr>
        <w:t xml:space="preserve">at the outset that </w:t>
      </w:r>
      <w:r w:rsidRPr="00C44870" w:rsidR="0067701F">
        <w:rPr>
          <w:rFonts w:ascii="Times New Roman" w:hAnsi="Times New Roman" w:cs="Times New Roman"/>
          <w:sz w:val="24"/>
          <w:szCs w:val="24"/>
        </w:rPr>
        <w:t>we are</w:t>
      </w:r>
      <w:r w:rsidRPr="00C44870">
        <w:rPr>
          <w:rFonts w:ascii="Times New Roman" w:hAnsi="Times New Roman" w:cs="Times New Roman"/>
          <w:sz w:val="24"/>
          <w:szCs w:val="24"/>
        </w:rPr>
        <w:t xml:space="preserve"> not advocating that legal studies programs should aspire to teach students "how to think like lawyers." Instead, </w:t>
      </w:r>
      <w:r w:rsidRPr="00C44870" w:rsidR="0067701F">
        <w:rPr>
          <w:rFonts w:ascii="Times New Roman" w:hAnsi="Times New Roman" w:cs="Times New Roman"/>
          <w:sz w:val="24"/>
          <w:szCs w:val="24"/>
        </w:rPr>
        <w:t xml:space="preserve">we </w:t>
      </w:r>
      <w:r w:rsidRPr="00C44870">
        <w:rPr>
          <w:rFonts w:ascii="Times New Roman" w:hAnsi="Times New Roman" w:cs="Times New Roman"/>
          <w:sz w:val="24"/>
          <w:szCs w:val="24"/>
        </w:rPr>
        <w:t>contend that it is legitimate and meaningful for a legal studies program to introduce students to understand the technical methodologies of law and engage them in "how lawyers think" or at least how they claim to think. I hope that this article will spur further academic discussion of the different approaches to teaching that may be engaged within legal studies programs. Start by considering how the ongoing debate concerning the role of legal education inside and outside professional law schools has framed the role of undergraduate legal studies programs and, in turn, has generated a particularly negative conception of the role of doctrinal analysis within those programs in some quarters. I argue that this negative conception is impoverished, as it fails to acknowledge that there can be multiple roles for legal studies programs. I</w:t>
      </w:r>
      <w:r w:rsidRPr="00C44870" w:rsidR="00FE1C82">
        <w:rPr>
          <w:rFonts w:ascii="Times New Roman" w:hAnsi="Times New Roman" w:cs="Times New Roman"/>
          <w:sz w:val="24"/>
          <w:szCs w:val="24"/>
        </w:rPr>
        <w:t>t</w:t>
      </w:r>
      <w:r w:rsidRPr="00C44870">
        <w:rPr>
          <w:rFonts w:ascii="Times New Roman" w:hAnsi="Times New Roman" w:cs="Times New Roman"/>
          <w:sz w:val="24"/>
          <w:szCs w:val="24"/>
        </w:rPr>
        <w:t xml:space="preserve"> </w:t>
      </w:r>
      <w:r w:rsidRPr="00C44870" w:rsidR="00FE1C82">
        <w:rPr>
          <w:rFonts w:ascii="Times New Roman" w:hAnsi="Times New Roman" w:cs="Times New Roman"/>
          <w:sz w:val="24"/>
          <w:szCs w:val="24"/>
        </w:rPr>
        <w:t>identifies</w:t>
      </w:r>
      <w:r w:rsidRPr="00C44870">
        <w:rPr>
          <w:rFonts w:ascii="Times New Roman" w:hAnsi="Times New Roman" w:cs="Times New Roman"/>
          <w:sz w:val="24"/>
          <w:szCs w:val="24"/>
        </w:rPr>
        <w:t xml:space="preserve"> two roles: creating an environment for critical interdisciplinary engagement with the law and the legal and "demystifying the law" by educating students outside professional law schools about the law and how it works. </w:t>
      </w:r>
    </w:p>
    <w:p w:rsidR="006871B3" w:rsidRPr="00C44870" w:rsidP="00C44870" w14:paraId="6C0B2BE4" w14:textId="68AE8234">
      <w:pPr>
        <w:spacing w:line="360" w:lineRule="auto"/>
        <w:ind w:firstLine="720"/>
        <w:rPr>
          <w:rFonts w:ascii="Times New Roman" w:hAnsi="Times New Roman" w:cs="Times New Roman"/>
          <w:b/>
          <w:bCs/>
          <w:sz w:val="24"/>
          <w:szCs w:val="24"/>
        </w:rPr>
      </w:pPr>
      <w:r w:rsidRPr="00C44870">
        <w:rPr>
          <w:rFonts w:ascii="Times New Roman" w:hAnsi="Times New Roman" w:cs="Times New Roman"/>
          <w:sz w:val="24"/>
          <w:szCs w:val="24"/>
        </w:rPr>
        <w:t xml:space="preserve"> </w:t>
      </w:r>
      <w:r w:rsidRPr="00C44870">
        <w:rPr>
          <w:rFonts w:ascii="Times New Roman" w:hAnsi="Times New Roman" w:cs="Times New Roman"/>
          <w:b/>
          <w:bCs/>
          <w:sz w:val="24"/>
          <w:szCs w:val="24"/>
        </w:rPr>
        <w:t>Context – legal education inside and outside the professional law school</w:t>
      </w:r>
    </w:p>
    <w:p w:rsidR="001258E6" w:rsidRPr="00C44870" w:rsidP="00C44870" w14:paraId="3B5688C6" w14:textId="5FECE99B">
      <w:pPr>
        <w:spacing w:line="360" w:lineRule="auto"/>
        <w:ind w:firstLine="720"/>
        <w:rPr>
          <w:rFonts w:ascii="Times New Roman" w:hAnsi="Times New Roman" w:cs="Times New Roman"/>
          <w:sz w:val="24"/>
          <w:szCs w:val="24"/>
        </w:rPr>
      </w:pPr>
      <w:r w:rsidRPr="00C44870">
        <w:rPr>
          <w:rFonts w:ascii="Times New Roman" w:hAnsi="Times New Roman" w:cs="Times New Roman"/>
          <w:sz w:val="24"/>
          <w:szCs w:val="24"/>
        </w:rPr>
        <w:t xml:space="preserve">My argument is made within the broader context of the debate about </w:t>
      </w:r>
      <w:r w:rsidRPr="00C44870" w:rsidR="006402D7">
        <w:rPr>
          <w:rFonts w:ascii="Times New Roman" w:hAnsi="Times New Roman" w:cs="Times New Roman"/>
          <w:sz w:val="24"/>
          <w:szCs w:val="24"/>
        </w:rPr>
        <w:t>the role and structure of legal education in and out of professional law schools. According to Arthurs report</w:t>
      </w:r>
      <w:r w:rsidRPr="00C44870" w:rsidR="00910935">
        <w:rPr>
          <w:rFonts w:ascii="Times New Roman" w:hAnsi="Times New Roman" w:cs="Times New Roman"/>
          <w:sz w:val="24"/>
          <w:szCs w:val="24"/>
        </w:rPr>
        <w:t xml:space="preserve"> 6</w:t>
      </w:r>
      <w:r w:rsidRPr="00C44870" w:rsidR="006402D7">
        <w:rPr>
          <w:rFonts w:ascii="Times New Roman" w:hAnsi="Times New Roman" w:cs="Times New Roman"/>
          <w:sz w:val="24"/>
          <w:szCs w:val="24"/>
        </w:rPr>
        <w:t>, the overwhelming focus on doctrinal analysis in teaching and research in Canadian law school at the time was decried. Arthurs focused most on interdisciplinary research employing social and scientific methods</w:t>
      </w:r>
      <w:r w:rsidRPr="00C44870">
        <w:rPr>
          <w:rFonts w:ascii="Times New Roman" w:hAnsi="Times New Roman" w:cs="Times New Roman"/>
          <w:sz w:val="24"/>
          <w:szCs w:val="24"/>
        </w:rPr>
        <w:t>. In his report, he majorly talked about black letter law that remained dominant. There were two significant roles for non-professional legal studies were identified. The first one was to create space for critical interdisciplinary engagement and disciplinary engagement with law and the legal, not as an autonomous body of rules, claims, or knowledge, but as an integrated part of our larger political, social, economic, and cultural structures. The second role is to teach non-lawyers about the law—in other words, to demystify the law to allow students to participate more fully in the creation and critique of legal rules as part of their democratic engagement as citizen</w:t>
      </w:r>
      <w:r w:rsidRPr="00C44870" w:rsidR="00B4422B">
        <w:rPr>
          <w:rFonts w:ascii="Times New Roman" w:hAnsi="Times New Roman" w:cs="Times New Roman"/>
          <w:sz w:val="24"/>
          <w:szCs w:val="24"/>
        </w:rPr>
        <w:t>s.</w:t>
      </w:r>
    </w:p>
    <w:p w:rsidR="00B4422B" w:rsidRPr="00C44870" w:rsidP="00C44870" w14:paraId="320B5779" w14:textId="78278A0E">
      <w:pPr>
        <w:spacing w:line="360" w:lineRule="auto"/>
        <w:ind w:firstLine="720"/>
        <w:rPr>
          <w:rFonts w:ascii="Times New Roman" w:hAnsi="Times New Roman" w:cs="Times New Roman"/>
          <w:sz w:val="24"/>
          <w:szCs w:val="24"/>
        </w:rPr>
      </w:pPr>
      <w:r w:rsidRPr="00C44870">
        <w:rPr>
          <w:rFonts w:ascii="Times New Roman" w:hAnsi="Times New Roman" w:cs="Times New Roman"/>
          <w:sz w:val="24"/>
          <w:szCs w:val="24"/>
        </w:rPr>
        <w:t>III. Reconciling “Law” with Legal Studies—Teaching Research Methods at Carleton University.</w:t>
      </w:r>
    </w:p>
    <w:p w:rsidR="00B4422B" w:rsidRPr="00C44870" w:rsidP="00C44870" w14:paraId="7DF1E4C0" w14:textId="109108B8">
      <w:pPr>
        <w:spacing w:line="360" w:lineRule="auto"/>
        <w:ind w:firstLine="720"/>
        <w:rPr>
          <w:rFonts w:ascii="Times New Roman" w:hAnsi="Times New Roman" w:cs="Times New Roman"/>
          <w:sz w:val="24"/>
          <w:szCs w:val="24"/>
        </w:rPr>
      </w:pPr>
      <w:r w:rsidRPr="00C44870">
        <w:rPr>
          <w:rFonts w:ascii="Times New Roman" w:hAnsi="Times New Roman" w:cs="Times New Roman"/>
          <w:sz w:val="24"/>
          <w:szCs w:val="24"/>
        </w:rPr>
        <w:t xml:space="preserve">Teaching students about research approaches is always challenging. Students often resent the requirement to take courses focused on "methodology" instead of substantive subjects, and many professors are reluctant to teach these courses. The task is perhaps even more challenging in interdisciplinary programs than in traditional disciplines because the research methodologies applied and viewed as legitimate within interdisciplinary programs are often more diverse than those involved in conventional fields. At the same time, teaching students how to conduct research is at the heart of the academic project. Doing so presents an unparalleled opportunity to open their </w:t>
      </w:r>
      <w:r w:rsidRPr="00C44870">
        <w:rPr>
          <w:rFonts w:ascii="Times New Roman" w:hAnsi="Times New Roman" w:cs="Times New Roman"/>
          <w:sz w:val="24"/>
          <w:szCs w:val="24"/>
        </w:rPr>
        <w:t>minds to various approaches to collecting information and producing new knowledge.</w:t>
      </w:r>
    </w:p>
    <w:p w:rsidR="00B4422B" w:rsidRPr="00C44870" w:rsidP="00C44870" w14:paraId="4AAD82E6" w14:textId="2806DBB3">
      <w:pPr>
        <w:spacing w:line="360" w:lineRule="auto"/>
        <w:ind w:firstLine="720"/>
        <w:rPr>
          <w:rFonts w:ascii="Times New Roman" w:hAnsi="Times New Roman" w:cs="Times New Roman"/>
          <w:sz w:val="24"/>
          <w:szCs w:val="24"/>
        </w:rPr>
      </w:pPr>
      <w:r w:rsidRPr="00C44870">
        <w:rPr>
          <w:rFonts w:ascii="Times New Roman" w:hAnsi="Times New Roman" w:cs="Times New Roman"/>
          <w:sz w:val="24"/>
          <w:szCs w:val="24"/>
        </w:rPr>
        <w:t xml:space="preserve">In acknowledgment of the importance of providing students with a strong foundation in a wide range of research skills, the Department of Law and Legal Studies at Carleton University offers two stand-alone courses dedicated to teaching research methods. The first course, Approaches in Legal Studies I, is provided in the second year and is required for general BA and the </w:t>
      </w:r>
      <w:r w:rsidRPr="00C44870" w:rsidR="00FE1C82">
        <w:rPr>
          <w:rFonts w:ascii="Times New Roman" w:hAnsi="Times New Roman" w:cs="Times New Roman"/>
          <w:sz w:val="24"/>
          <w:szCs w:val="24"/>
        </w:rPr>
        <w:t>Honor’s</w:t>
      </w:r>
      <w:r w:rsidRPr="00C44870">
        <w:rPr>
          <w:rFonts w:ascii="Times New Roman" w:hAnsi="Times New Roman" w:cs="Times New Roman"/>
          <w:sz w:val="24"/>
          <w:szCs w:val="24"/>
        </w:rPr>
        <w:t xml:space="preserve"> BA programs</w:t>
      </w:r>
      <w:r w:rsidRPr="00C44870" w:rsidR="00124ECC">
        <w:rPr>
          <w:rFonts w:ascii="Times New Roman" w:hAnsi="Times New Roman" w:cs="Times New Roman"/>
          <w:sz w:val="24"/>
          <w:szCs w:val="24"/>
        </w:rPr>
        <w:t>.</w:t>
      </w:r>
    </w:p>
    <w:p w:rsidR="00124ECC" w:rsidRPr="00C44870" w:rsidP="00C44870" w14:paraId="2E32A745" w14:textId="0F81F582">
      <w:pPr>
        <w:spacing w:line="360" w:lineRule="auto"/>
        <w:ind w:firstLine="720"/>
        <w:rPr>
          <w:rFonts w:ascii="Times New Roman" w:hAnsi="Times New Roman" w:cs="Times New Roman"/>
          <w:sz w:val="24"/>
          <w:szCs w:val="24"/>
        </w:rPr>
      </w:pPr>
      <w:r w:rsidRPr="00C44870">
        <w:rPr>
          <w:rFonts w:ascii="Times New Roman" w:hAnsi="Times New Roman" w:cs="Times New Roman"/>
          <w:sz w:val="24"/>
          <w:szCs w:val="24"/>
        </w:rPr>
        <w:t xml:space="preserve">LAWS 3908 is designed so that individual faculty members can take an issue area in which they are conducting research and use their approach as a starting point for discussing </w:t>
      </w:r>
      <w:r w:rsidRPr="00C44870">
        <w:rPr>
          <w:rFonts w:ascii="Times New Roman" w:hAnsi="Times New Roman" w:cs="Times New Roman"/>
          <w:sz w:val="24"/>
          <w:szCs w:val="24"/>
        </w:rPr>
        <w:t>several different approaches to considering the issue area within a legal studies context. While part of the mandate of LAWS 2908 is to provide students with an introduction to several approaches to research in legal studies, LAWS 3908 is meant to provide a more in-depth treatment of several of these approaches.</w:t>
      </w:r>
    </w:p>
    <w:p w:rsidR="00124ECC" w:rsidRPr="00C44870" w:rsidP="00C44870" w14:paraId="07B437A6" w14:textId="4FB45AD1">
      <w:pPr>
        <w:spacing w:line="360" w:lineRule="auto"/>
        <w:ind w:firstLine="720"/>
        <w:rPr>
          <w:rFonts w:ascii="Times New Roman" w:hAnsi="Times New Roman" w:cs="Times New Roman"/>
          <w:sz w:val="24"/>
          <w:szCs w:val="24"/>
        </w:rPr>
      </w:pPr>
      <w:r w:rsidRPr="00C44870">
        <w:rPr>
          <w:rFonts w:ascii="Times New Roman" w:hAnsi="Times New Roman" w:cs="Times New Roman"/>
          <w:sz w:val="24"/>
          <w:szCs w:val="24"/>
        </w:rPr>
        <w:t>The approach taken at Carleton is just one example, from a wide range of courses taken in Canada to teaching research methods in undergraduate programs in legal studies or related fields. 19 Some programs, for example, have only one required research methods course conducted within the program.</w:t>
      </w:r>
    </w:p>
    <w:p w:rsidR="00124ECC" w:rsidRPr="00C44870" w:rsidP="00C44870" w14:paraId="550CD3CC" w14:textId="10FA2764">
      <w:pPr>
        <w:spacing w:line="360" w:lineRule="auto"/>
        <w:ind w:firstLine="720"/>
        <w:rPr>
          <w:rFonts w:ascii="Times New Roman" w:hAnsi="Times New Roman" w:cs="Times New Roman"/>
          <w:b/>
          <w:bCs/>
          <w:sz w:val="24"/>
          <w:szCs w:val="24"/>
        </w:rPr>
      </w:pPr>
      <w:r w:rsidRPr="00C44870">
        <w:rPr>
          <w:rFonts w:ascii="Times New Roman" w:hAnsi="Times New Roman" w:cs="Times New Roman"/>
          <w:b/>
          <w:bCs/>
          <w:sz w:val="24"/>
          <w:szCs w:val="24"/>
        </w:rPr>
        <w:t xml:space="preserve">Course theme </w:t>
      </w:r>
    </w:p>
    <w:p w:rsidR="00921162" w:rsidRPr="00C44870" w:rsidP="00C44870" w14:paraId="67C5D841" w14:textId="1A953D91">
      <w:pPr>
        <w:spacing w:line="360" w:lineRule="auto"/>
        <w:ind w:firstLine="720"/>
        <w:rPr>
          <w:rFonts w:ascii="Times New Roman" w:hAnsi="Times New Roman" w:cs="Times New Roman"/>
          <w:sz w:val="24"/>
          <w:szCs w:val="24"/>
        </w:rPr>
      </w:pPr>
      <w:r w:rsidRPr="00C44870">
        <w:rPr>
          <w:rFonts w:ascii="Times New Roman" w:hAnsi="Times New Roman" w:cs="Times New Roman"/>
          <w:sz w:val="24"/>
          <w:szCs w:val="24"/>
        </w:rPr>
        <w:t>The course theme for the current iteration of the course is "the role of the state in regulating marriage." In particular, we have focused on same-sex marriage within our lectures and tutorials. However, we rotated the focus of our assignments among topics related to same-sex marriage, the criminalization of polygamy, and the legal distinction between common-law relationships and marriage in different semesters. I</w:t>
      </w:r>
      <w:r w:rsidRPr="00C44870" w:rsidR="00910935">
        <w:rPr>
          <w:rFonts w:ascii="Times New Roman" w:hAnsi="Times New Roman" w:cs="Times New Roman"/>
          <w:sz w:val="24"/>
          <w:szCs w:val="24"/>
        </w:rPr>
        <w:t>t</w:t>
      </w:r>
      <w:r w:rsidRPr="00C44870">
        <w:rPr>
          <w:rFonts w:ascii="Times New Roman" w:hAnsi="Times New Roman" w:cs="Times New Roman"/>
          <w:sz w:val="24"/>
          <w:szCs w:val="24"/>
        </w:rPr>
        <w:t xml:space="preserve"> address</w:t>
      </w:r>
      <w:r w:rsidRPr="00C44870" w:rsidR="00D436B7">
        <w:rPr>
          <w:rFonts w:ascii="Times New Roman" w:hAnsi="Times New Roman" w:cs="Times New Roman"/>
          <w:sz w:val="24"/>
          <w:szCs w:val="24"/>
        </w:rPr>
        <w:t>es</w:t>
      </w:r>
      <w:r w:rsidRPr="00C44870">
        <w:rPr>
          <w:rFonts w:ascii="Times New Roman" w:hAnsi="Times New Roman" w:cs="Times New Roman"/>
          <w:sz w:val="24"/>
          <w:szCs w:val="24"/>
        </w:rPr>
        <w:t xml:space="preserve"> how the course theme is engaged throughout the course in more detail below.</w:t>
      </w:r>
    </w:p>
    <w:p w:rsidR="00921162" w:rsidRPr="00C44870" w:rsidP="00C44870" w14:paraId="4C54FFC1" w14:textId="0791A9A6">
      <w:pPr>
        <w:spacing w:line="360" w:lineRule="auto"/>
        <w:ind w:firstLine="720"/>
        <w:rPr>
          <w:rFonts w:ascii="Times New Roman" w:hAnsi="Times New Roman" w:cs="Times New Roman"/>
          <w:sz w:val="24"/>
          <w:szCs w:val="24"/>
        </w:rPr>
      </w:pPr>
      <w:r w:rsidRPr="00C44870">
        <w:rPr>
          <w:rFonts w:ascii="Times New Roman" w:hAnsi="Times New Roman" w:cs="Times New Roman"/>
          <w:sz w:val="24"/>
          <w:szCs w:val="24"/>
        </w:rPr>
        <w:t xml:space="preserve">The </w:t>
      </w:r>
      <w:r w:rsidRPr="00C44870">
        <w:rPr>
          <w:rFonts w:ascii="Times New Roman" w:hAnsi="Times New Roman" w:cs="Times New Roman"/>
          <w:sz w:val="24"/>
          <w:szCs w:val="24"/>
        </w:rPr>
        <w:t>general research question we use to frame our course asks: How have judicial decisions striking down the common law prohibition against same-sex marriage stated or influenced the changing attitudes of Canadian politicians and the broader public about same-sex marriage? This question allows us to consider the more general topic of the relationship between law and social change while considering the vast array of legal sources we want to engage, including cases, legislation, parliamentary debates, government documents, and secondary sources.</w:t>
      </w:r>
    </w:p>
    <w:p w:rsidR="00921162" w:rsidRPr="00C44870" w:rsidP="00C44870" w14:paraId="11DF5C00" w14:textId="7D9F1E41">
      <w:pPr>
        <w:spacing w:line="360" w:lineRule="auto"/>
        <w:ind w:firstLine="720"/>
        <w:rPr>
          <w:rFonts w:ascii="Times New Roman" w:hAnsi="Times New Roman" w:cs="Times New Roman"/>
          <w:sz w:val="24"/>
          <w:szCs w:val="24"/>
        </w:rPr>
      </w:pPr>
      <w:r w:rsidRPr="00C44870">
        <w:rPr>
          <w:rFonts w:ascii="Times New Roman" w:hAnsi="Times New Roman" w:cs="Times New Roman"/>
          <w:sz w:val="24"/>
          <w:szCs w:val="24"/>
        </w:rPr>
        <w:t xml:space="preserve">The general research question we use to frame our course asks: How have judicial decisions striking down the common law prohibition against same-sex marriage prepared or influenced the changing attitudes of Canadian politicians and the broader public about same-sex marriage? This question allows us to consider the more overall topic of the relationship between law and social change while also considering the vast array of legal sources we want to engage, which includes cases, legislation, parliamentary debates, government documents, and secondary sources—introduction of theory as a vital component of the research process. In particular, we </w:t>
      </w:r>
      <w:r w:rsidRPr="00C44870">
        <w:rPr>
          <w:rFonts w:ascii="Times New Roman" w:hAnsi="Times New Roman" w:cs="Times New Roman"/>
          <w:sz w:val="24"/>
          <w:szCs w:val="24"/>
        </w:rPr>
        <w:t>introduce students to how different theoretical frameworks and research methodologies may be applied to study the same issue or phenomenon.</w:t>
      </w:r>
      <w:r w:rsidRPr="00C44870" w:rsidR="00074DC3">
        <w:rPr>
          <w:rFonts w:ascii="Times New Roman" w:hAnsi="Times New Roman" w:cs="Times New Roman"/>
          <w:sz w:val="24"/>
          <w:szCs w:val="24"/>
        </w:rPr>
        <w:t xml:space="preserve"> In tutorials, students are then introduced to an article that critiques the consultation process leading up to enacting two crucial pieces of legislation: the Modernization of Benefits and Obligations Act 29 and the Civil Marriage Act. 30 The article, by Claire Young and Susan Boyd, provides a feminist critique of the movement towards same-sex marriage based on content analysis of contributions by individuals and advocacy groups to the parliamentary committee hearings concerning these two acts. 31 In particular, Young and Boyd argue that the submissions to the committee hearings reflect how the debate operated to reinforce conservative and heteronormative discourses on marriage and family—at the same time, rende</w:t>
      </w:r>
      <w:r w:rsidRPr="00C44870" w:rsidR="00943FCF">
        <w:rPr>
          <w:rFonts w:ascii="Times New Roman" w:hAnsi="Times New Roman" w:cs="Times New Roman"/>
          <w:sz w:val="24"/>
          <w:szCs w:val="24"/>
        </w:rPr>
        <w:t>r</w:t>
      </w:r>
      <w:r w:rsidRPr="00C44870" w:rsidR="00074DC3">
        <w:rPr>
          <w:rFonts w:ascii="Times New Roman" w:hAnsi="Times New Roman" w:cs="Times New Roman"/>
          <w:sz w:val="24"/>
          <w:szCs w:val="24"/>
        </w:rPr>
        <w:t>ing</w:t>
      </w:r>
      <w:r w:rsidRPr="00C44870" w:rsidR="00943FCF">
        <w:rPr>
          <w:rFonts w:ascii="Times New Roman" w:hAnsi="Times New Roman" w:cs="Times New Roman"/>
          <w:sz w:val="24"/>
          <w:szCs w:val="24"/>
        </w:rPr>
        <w:t xml:space="preserve"> </w:t>
      </w:r>
      <w:r w:rsidRPr="00C44870" w:rsidR="00074DC3">
        <w:rPr>
          <w:rFonts w:ascii="Times New Roman" w:hAnsi="Times New Roman" w:cs="Times New Roman"/>
          <w:sz w:val="24"/>
          <w:szCs w:val="24"/>
        </w:rPr>
        <w:t>invisible important feminist critiques of marriage, familial ideology, and the domestication of lesbian and gay relationships.</w:t>
      </w:r>
    </w:p>
    <w:p w:rsidR="00074DC3" w:rsidRPr="00C44870" w:rsidP="00C44870" w14:paraId="291973D3" w14:textId="5AB51B8B">
      <w:pPr>
        <w:tabs>
          <w:tab w:val="center" w:pos="4680"/>
        </w:tabs>
        <w:spacing w:line="360" w:lineRule="auto"/>
        <w:ind w:firstLine="720"/>
        <w:rPr>
          <w:rFonts w:ascii="Times New Roman" w:hAnsi="Times New Roman" w:cs="Times New Roman"/>
          <w:sz w:val="24"/>
          <w:szCs w:val="24"/>
        </w:rPr>
      </w:pPr>
      <w:r w:rsidRPr="00C44870">
        <w:rPr>
          <w:rFonts w:ascii="Times New Roman" w:hAnsi="Times New Roman" w:cs="Times New Roman"/>
          <w:sz w:val="24"/>
          <w:szCs w:val="24"/>
        </w:rPr>
        <w:t xml:space="preserve">While the Arthurs Report posited that the solution to the problem identified was to apply interdisciplinary approaches within the law school walls, my prescription is to use elements of the law school within the walls of the arts and social science faculties. 39 In particular, </w:t>
      </w:r>
      <w:r w:rsidRPr="00C44870">
        <w:rPr>
          <w:rFonts w:ascii="Times New Roman" w:hAnsi="Times New Roman" w:cs="Times New Roman"/>
          <w:sz w:val="24"/>
          <w:szCs w:val="24"/>
        </w:rPr>
        <w:t>I</w:t>
      </w:r>
      <w:r w:rsidRPr="00C44870" w:rsidR="00D436B7">
        <w:rPr>
          <w:rFonts w:ascii="Times New Roman" w:hAnsi="Times New Roman" w:cs="Times New Roman"/>
          <w:sz w:val="24"/>
          <w:szCs w:val="24"/>
        </w:rPr>
        <w:t>t</w:t>
      </w:r>
      <w:r w:rsidRPr="00C44870">
        <w:rPr>
          <w:rFonts w:ascii="Times New Roman" w:hAnsi="Times New Roman" w:cs="Times New Roman"/>
          <w:sz w:val="24"/>
          <w:szCs w:val="24"/>
        </w:rPr>
        <w:t xml:space="preserve"> argue</w:t>
      </w:r>
      <w:r w:rsidRPr="00C44870" w:rsidR="00D436B7">
        <w:rPr>
          <w:rFonts w:ascii="Times New Roman" w:hAnsi="Times New Roman" w:cs="Times New Roman"/>
          <w:sz w:val="24"/>
          <w:szCs w:val="24"/>
        </w:rPr>
        <w:t>s</w:t>
      </w:r>
      <w:r w:rsidRPr="00C44870">
        <w:rPr>
          <w:rFonts w:ascii="Times New Roman" w:hAnsi="Times New Roman" w:cs="Times New Roman"/>
          <w:sz w:val="24"/>
          <w:szCs w:val="24"/>
        </w:rPr>
        <w:t xml:space="preserve"> that the teaching of legal research and doctrinal analysis has a meaningful role within a legal studies program. As law societies exert more significant pressure on professional law schools to focus their work on preparing students to become lawyers, the role of legal studies programs in offering an alternative path </w:t>
      </w:r>
      <w:r w:rsidRPr="00C44870" w:rsidR="00D436B7">
        <w:rPr>
          <w:rFonts w:ascii="Times New Roman" w:hAnsi="Times New Roman" w:cs="Times New Roman"/>
          <w:sz w:val="24"/>
          <w:szCs w:val="24"/>
        </w:rPr>
        <w:t>in education</w:t>
      </w:r>
      <w:r w:rsidRPr="00C44870">
        <w:rPr>
          <w:rFonts w:ascii="Times New Roman" w:hAnsi="Times New Roman" w:cs="Times New Roman"/>
          <w:sz w:val="24"/>
          <w:szCs w:val="24"/>
        </w:rPr>
        <w:t>, rather than simply training in law</w:t>
      </w:r>
      <w:r w:rsidRPr="00C44870" w:rsidR="00D436B7">
        <w:rPr>
          <w:rFonts w:ascii="Times New Roman" w:hAnsi="Times New Roman" w:cs="Times New Roman"/>
          <w:sz w:val="24"/>
          <w:szCs w:val="24"/>
        </w:rPr>
        <w:t xml:space="preserve">, </w:t>
      </w:r>
      <w:r w:rsidRPr="00C44870">
        <w:rPr>
          <w:rFonts w:ascii="Times New Roman" w:hAnsi="Times New Roman" w:cs="Times New Roman"/>
          <w:sz w:val="24"/>
          <w:szCs w:val="24"/>
        </w:rPr>
        <w:t>takes on added importance. Therefore, a clarion call for more or even some</w:t>
      </w:r>
      <w:r w:rsidRPr="00C44870" w:rsidR="00D436B7">
        <w:rPr>
          <w:rFonts w:ascii="Times New Roman" w:hAnsi="Times New Roman" w:cs="Times New Roman"/>
          <w:sz w:val="24"/>
          <w:szCs w:val="24"/>
        </w:rPr>
        <w:t xml:space="preserve"> </w:t>
      </w:r>
      <w:r w:rsidRPr="00C44870">
        <w:rPr>
          <w:rFonts w:ascii="Times New Roman" w:hAnsi="Times New Roman" w:cs="Times New Roman"/>
          <w:sz w:val="24"/>
          <w:szCs w:val="24"/>
        </w:rPr>
        <w:t>emphasis on legal research and doctrinal analysis in legal studies programs may seem particularly ill</w:t>
      </w:r>
      <w:r w:rsidRPr="00C44870" w:rsidR="00D436B7">
        <w:rPr>
          <w:rFonts w:ascii="Times New Roman" w:hAnsi="Times New Roman" w:cs="Times New Roman"/>
          <w:sz w:val="24"/>
          <w:szCs w:val="24"/>
        </w:rPr>
        <w:t>-t</w:t>
      </w:r>
      <w:r w:rsidRPr="00C44870">
        <w:rPr>
          <w:rFonts w:ascii="Times New Roman" w:hAnsi="Times New Roman" w:cs="Times New Roman"/>
          <w:sz w:val="24"/>
          <w:szCs w:val="24"/>
        </w:rPr>
        <w:t xml:space="preserve">imed. To be sure, teaching legal research and doctrinal analysis within a legal studies framework risks the colonizing effect of doctrinal approaches to law. However, in my view, this colonizing effect can be minimized through the deployment of </w:t>
      </w:r>
      <w:r w:rsidRPr="00C44870" w:rsidR="00D436B7">
        <w:rPr>
          <w:rFonts w:ascii="Times New Roman" w:hAnsi="Times New Roman" w:cs="Times New Roman"/>
          <w:sz w:val="24"/>
          <w:szCs w:val="24"/>
        </w:rPr>
        <w:t>intellectual</w:t>
      </w:r>
      <w:r w:rsidRPr="00C44870">
        <w:rPr>
          <w:rFonts w:ascii="Times New Roman" w:hAnsi="Times New Roman" w:cs="Times New Roman"/>
          <w:sz w:val="24"/>
          <w:szCs w:val="24"/>
        </w:rPr>
        <w:t xml:space="preserve"> strategies such as those employed in the second-year research methods course taught in the Department of Law and Legal Studies at Carleton University. By deploying these and similar strategies.</w:t>
      </w:r>
    </w:p>
    <w:p w:rsidR="00943FCF" w:rsidRPr="00C44870" w:rsidP="00C44870" w14:paraId="05D33A74" w14:textId="13762FDD">
      <w:pPr>
        <w:tabs>
          <w:tab w:val="center" w:pos="4680"/>
        </w:tabs>
        <w:spacing w:line="360" w:lineRule="auto"/>
        <w:ind w:firstLine="720"/>
        <w:rPr>
          <w:rFonts w:ascii="Times New Roman" w:hAnsi="Times New Roman" w:cs="Times New Roman"/>
          <w:sz w:val="24"/>
          <w:szCs w:val="24"/>
        </w:rPr>
      </w:pPr>
    </w:p>
    <w:p w:rsidR="00153D2C" w14:paraId="0D9FAB8D" w14:textId="77777777">
      <w:pPr>
        <w:rPr>
          <w:rFonts w:ascii="Times New Roman" w:hAnsi="Times New Roman" w:cs="Times New Roman"/>
          <w:sz w:val="24"/>
          <w:szCs w:val="24"/>
        </w:rPr>
      </w:pPr>
      <w:r>
        <w:rPr>
          <w:rFonts w:ascii="Times New Roman" w:hAnsi="Times New Roman" w:cs="Times New Roman"/>
          <w:sz w:val="24"/>
          <w:szCs w:val="24"/>
        </w:rPr>
        <w:br w:type="page"/>
      </w:r>
    </w:p>
    <w:p w:rsidR="00943FCF" w:rsidP="00C44870" w14:paraId="3816F2D7" w14:textId="7CEA6790">
      <w:pPr>
        <w:tabs>
          <w:tab w:val="center" w:pos="4680"/>
        </w:tabs>
        <w:spacing w:line="360" w:lineRule="auto"/>
        <w:ind w:firstLine="720"/>
        <w:rPr>
          <w:rFonts w:ascii="Times New Roman" w:hAnsi="Times New Roman" w:cs="Times New Roman"/>
          <w:sz w:val="24"/>
          <w:szCs w:val="24"/>
        </w:rPr>
      </w:pPr>
      <w:r w:rsidRPr="00C44870">
        <w:rPr>
          <w:rFonts w:ascii="Times New Roman" w:hAnsi="Times New Roman" w:cs="Times New Roman"/>
          <w:sz w:val="24"/>
          <w:szCs w:val="24"/>
        </w:rPr>
        <w:t xml:space="preserve">References </w:t>
      </w:r>
    </w:p>
    <w:p w:rsidR="00153D2C" w:rsidRPr="00153D2C" w:rsidP="00153D2C" w14:paraId="344F7875" w14:textId="77777777">
      <w:pPr>
        <w:spacing w:after="0" w:line="360" w:lineRule="auto"/>
        <w:ind w:left="720" w:hanging="720"/>
        <w:rPr>
          <w:rFonts w:ascii="Times New Roman" w:eastAsia="Times New Roman" w:hAnsi="Times New Roman" w:cs="Times New Roman"/>
          <w:color w:val="222222"/>
          <w:sz w:val="24"/>
          <w:szCs w:val="24"/>
        </w:rPr>
      </w:pPr>
      <w:r w:rsidRPr="00C44870">
        <w:rPr>
          <w:rFonts w:ascii="Times New Roman" w:hAnsi="Times New Roman" w:cs="Times New Roman"/>
          <w:color w:val="222222"/>
          <w:sz w:val="24"/>
          <w:szCs w:val="24"/>
          <w:shd w:val="clear" w:color="auto" w:fill="FFFFFF"/>
        </w:rPr>
        <w:t xml:space="preserve">Al </w:t>
      </w:r>
      <w:r w:rsidRPr="00C44870">
        <w:rPr>
          <w:rFonts w:ascii="Times New Roman" w:hAnsi="Times New Roman" w:cs="Times New Roman"/>
          <w:color w:val="222222"/>
          <w:sz w:val="24"/>
          <w:szCs w:val="24"/>
          <w:shd w:val="clear" w:color="auto" w:fill="FFFFFF"/>
        </w:rPr>
        <w:t>Amaren</w:t>
      </w:r>
      <w:r w:rsidRPr="00C44870">
        <w:rPr>
          <w:rFonts w:ascii="Times New Roman" w:hAnsi="Times New Roman" w:cs="Times New Roman"/>
          <w:color w:val="222222"/>
          <w:sz w:val="24"/>
          <w:szCs w:val="24"/>
          <w:shd w:val="clear" w:color="auto" w:fill="FFFFFF"/>
        </w:rPr>
        <w:t>, Emad Mohammad, et al. "An introduction to the legal research method: To clear the blurred image on how students understand the method of the legal science research." </w:t>
      </w:r>
      <w:r w:rsidRPr="00C44870">
        <w:rPr>
          <w:rFonts w:ascii="Times New Roman" w:hAnsi="Times New Roman" w:cs="Times New Roman"/>
          <w:i/>
          <w:iCs/>
          <w:color w:val="222222"/>
          <w:sz w:val="24"/>
          <w:szCs w:val="24"/>
          <w:shd w:val="clear" w:color="auto" w:fill="FFFFFF"/>
        </w:rPr>
        <w:t>International Journal of Multidisciplinary Sciences and Advanced Technology</w:t>
      </w:r>
      <w:r w:rsidRPr="00C44870">
        <w:rPr>
          <w:rFonts w:ascii="Times New Roman" w:hAnsi="Times New Roman" w:cs="Times New Roman"/>
          <w:color w:val="222222"/>
          <w:sz w:val="24"/>
          <w:szCs w:val="24"/>
          <w:shd w:val="clear" w:color="auto" w:fill="FFFFFF"/>
        </w:rPr>
        <w:t> 1.9 (2020): 50-55</w:t>
      </w:r>
    </w:p>
    <w:p w:rsidR="00153D2C" w:rsidP="00153D2C" w14:paraId="67CCE6DC" w14:textId="77777777">
      <w:pPr>
        <w:spacing w:after="0" w:line="360" w:lineRule="auto"/>
        <w:ind w:left="720" w:hanging="720"/>
        <w:rPr>
          <w:rFonts w:ascii="Times New Roman" w:eastAsia="Times New Roman" w:hAnsi="Times New Roman" w:cs="Times New Roman"/>
          <w:color w:val="222222"/>
          <w:sz w:val="24"/>
          <w:szCs w:val="24"/>
        </w:rPr>
      </w:pPr>
      <w:r w:rsidRPr="00C44870">
        <w:rPr>
          <w:rFonts w:ascii="Times New Roman" w:eastAsia="Times New Roman" w:hAnsi="Times New Roman" w:cs="Times New Roman"/>
          <w:color w:val="222222"/>
          <w:sz w:val="24"/>
          <w:szCs w:val="24"/>
        </w:rPr>
        <w:t>Kazmierski</w:t>
      </w:r>
      <w:r w:rsidRPr="00C44870">
        <w:rPr>
          <w:rFonts w:ascii="Times New Roman" w:eastAsia="Times New Roman" w:hAnsi="Times New Roman" w:cs="Times New Roman"/>
          <w:color w:val="222222"/>
          <w:sz w:val="24"/>
          <w:szCs w:val="24"/>
        </w:rPr>
        <w:t>, Vincent. "How much “law” in Legal Studies? Approaches to teaching legal research and doctrinal analysis in a Legal Studies program." </w:t>
      </w:r>
      <w:r w:rsidRPr="00C44870">
        <w:rPr>
          <w:rFonts w:ascii="Times New Roman" w:eastAsia="Times New Roman" w:hAnsi="Times New Roman" w:cs="Times New Roman"/>
          <w:i/>
          <w:iCs/>
          <w:color w:val="222222"/>
          <w:sz w:val="24"/>
          <w:szCs w:val="24"/>
        </w:rPr>
        <w:t>Canadian Journal of Law and Society/La Revue Canadienne Droit et Société</w:t>
      </w:r>
      <w:r w:rsidRPr="00C44870">
        <w:rPr>
          <w:rFonts w:ascii="Times New Roman" w:eastAsia="Times New Roman" w:hAnsi="Times New Roman" w:cs="Times New Roman"/>
          <w:color w:val="222222"/>
          <w:sz w:val="24"/>
          <w:szCs w:val="24"/>
        </w:rPr>
        <w:t> 29.3 (2014): 297-310.</w:t>
      </w:r>
    </w:p>
    <w:p w:rsidR="00153D2C" w:rsidP="00153D2C" w14:paraId="3AC17544" w14:textId="77777777">
      <w:pPr>
        <w:spacing w:after="0" w:line="360" w:lineRule="auto"/>
        <w:ind w:left="720" w:hanging="720"/>
        <w:rPr>
          <w:rFonts w:ascii="Times New Roman" w:hAnsi="Times New Roman" w:cs="Times New Roman"/>
          <w:color w:val="222222"/>
          <w:sz w:val="24"/>
          <w:szCs w:val="24"/>
          <w:shd w:val="clear" w:color="auto" w:fill="FFFFFF"/>
        </w:rPr>
      </w:pPr>
      <w:r w:rsidRPr="00C44870">
        <w:rPr>
          <w:rFonts w:ascii="Times New Roman" w:hAnsi="Times New Roman" w:cs="Times New Roman"/>
          <w:color w:val="222222"/>
          <w:sz w:val="24"/>
          <w:szCs w:val="24"/>
          <w:shd w:val="clear" w:color="auto" w:fill="FFFFFF"/>
        </w:rPr>
        <w:t>Kazmierski</w:t>
      </w:r>
      <w:r w:rsidRPr="00C44870">
        <w:rPr>
          <w:rFonts w:ascii="Times New Roman" w:hAnsi="Times New Roman" w:cs="Times New Roman"/>
          <w:color w:val="222222"/>
          <w:sz w:val="24"/>
          <w:szCs w:val="24"/>
          <w:shd w:val="clear" w:color="auto" w:fill="FFFFFF"/>
        </w:rPr>
        <w:t>, Vincent. "How Much" Law" in Legal Studies? Approaches to Teaching Legal Research and Doctrinal Analysis in a Legal Studies Program." </w:t>
      </w:r>
      <w:r w:rsidRPr="00C44870">
        <w:rPr>
          <w:rFonts w:ascii="Times New Roman" w:hAnsi="Times New Roman" w:cs="Times New Roman"/>
          <w:i/>
          <w:iCs/>
          <w:color w:val="222222"/>
          <w:sz w:val="24"/>
          <w:szCs w:val="24"/>
          <w:shd w:val="clear" w:color="auto" w:fill="FFFFFF"/>
        </w:rPr>
        <w:t>Canadian Journal of Law and Society</w:t>
      </w:r>
      <w:r w:rsidRPr="00C44870">
        <w:rPr>
          <w:rFonts w:ascii="Times New Roman" w:hAnsi="Times New Roman" w:cs="Times New Roman"/>
          <w:color w:val="222222"/>
          <w:sz w:val="24"/>
          <w:szCs w:val="24"/>
          <w:shd w:val="clear" w:color="auto" w:fill="FFFFFF"/>
        </w:rPr>
        <w:t> 29.3 (2014): 297.</w:t>
      </w:r>
    </w:p>
    <w:sectPr w:rsidSect="00153D2C">
      <w:headerReference w:type="default" r:id="rId4"/>
      <w:headerReference w:type="firs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48900188"/>
      <w:docPartObj>
        <w:docPartGallery w:val="Page Numbers (Top of Page)"/>
        <w:docPartUnique/>
      </w:docPartObj>
    </w:sdtPr>
    <w:sdtEndPr>
      <w:rPr>
        <w:noProof/>
      </w:rPr>
    </w:sdtEndPr>
    <w:sdtContent>
      <w:p w:rsidR="00153D2C" w:rsidP="00153D2C" w14:paraId="44D7BCA8" w14:textId="1979B403">
        <w:pPr>
          <w:pStyle w:val="Header"/>
          <w:ind w:left="6840" w:firstLine="2520"/>
        </w:pPr>
        <w:r>
          <w:fldChar w:fldCharType="begin"/>
        </w:r>
        <w:r>
          <w:instrText xml:space="preserve"> PAGE   \* MERGEFORMAT </w:instrText>
        </w:r>
        <w:r>
          <w:fldChar w:fldCharType="separate"/>
        </w:r>
        <w:r>
          <w:rPr>
            <w:noProof/>
          </w:rPr>
          <w:t>2</w:t>
        </w:r>
        <w:r>
          <w:rPr>
            <w:noProof/>
          </w:rPr>
          <w:fldChar w:fldCharType="end"/>
        </w:r>
      </w:p>
    </w:sdtContent>
  </w:sdt>
  <w:p w:rsidR="00153D2C" w14:paraId="4FD895F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D2C" w14:paraId="102939BA" w14:textId="77777777">
    <w:pPr>
      <w:pStyle w:val="Header"/>
      <w:jc w:val="right"/>
    </w:pPr>
  </w:p>
  <w:sdt>
    <w:sdtPr>
      <w:id w:val="-1146731854"/>
      <w:docPartObj>
        <w:docPartGallery w:val="Page Numbers (Top of Page)"/>
        <w:docPartUnique/>
      </w:docPartObj>
    </w:sdtPr>
    <w:sdtEndPr>
      <w:rPr>
        <w:noProof/>
      </w:rPr>
    </w:sdtEndPr>
    <w:sdtContent>
      <w:p w:rsidR="00153D2C" w14:paraId="4C71DEB0" w14:textId="03E55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FE1C82" w:rsidP="00153D2C" w14:paraId="3803D3B0" w14:textId="3A1ED8D9">
    <w:pPr>
      <w:pStyle w:val="Header"/>
      <w:tabs>
        <w:tab w:val="left" w:pos="3516"/>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00E19DF"/>
    <w:multiLevelType w:val="hybridMultilevel"/>
    <w:tmpl w:val="EDB49ABE"/>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1F3"/>
    <w:rsid w:val="00021976"/>
    <w:rsid w:val="000221C2"/>
    <w:rsid w:val="00074DC3"/>
    <w:rsid w:val="00124ECC"/>
    <w:rsid w:val="001258E6"/>
    <w:rsid w:val="00153D2C"/>
    <w:rsid w:val="0047136D"/>
    <w:rsid w:val="00484A7A"/>
    <w:rsid w:val="004A21F3"/>
    <w:rsid w:val="004F4616"/>
    <w:rsid w:val="006402D7"/>
    <w:rsid w:val="0067701F"/>
    <w:rsid w:val="006871B3"/>
    <w:rsid w:val="00910935"/>
    <w:rsid w:val="00921162"/>
    <w:rsid w:val="00943FCF"/>
    <w:rsid w:val="00947081"/>
    <w:rsid w:val="00AC677B"/>
    <w:rsid w:val="00B3261A"/>
    <w:rsid w:val="00B4422B"/>
    <w:rsid w:val="00BD69A8"/>
    <w:rsid w:val="00C073F1"/>
    <w:rsid w:val="00C44870"/>
    <w:rsid w:val="00D40077"/>
    <w:rsid w:val="00D436B7"/>
    <w:rsid w:val="00D65172"/>
    <w:rsid w:val="00DA5730"/>
    <w:rsid w:val="00E63A8B"/>
    <w:rsid w:val="00EF150D"/>
    <w:rsid w:val="00FE1C8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2FE2993"/>
  <w15:chartTrackingRefBased/>
  <w15:docId w15:val="{8AA8F7C2-EE9C-4CB8-A8D8-4DCB6DFE5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1F3"/>
  </w:style>
  <w:style w:type="paragraph" w:styleId="Footer">
    <w:name w:val="footer"/>
    <w:basedOn w:val="Normal"/>
    <w:link w:val="FooterChar"/>
    <w:uiPriority w:val="99"/>
    <w:unhideWhenUsed/>
    <w:rsid w:val="004A21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21F3"/>
  </w:style>
  <w:style w:type="paragraph" w:styleId="ListParagraph">
    <w:name w:val="List Paragraph"/>
    <w:basedOn w:val="Normal"/>
    <w:uiPriority w:val="34"/>
    <w:qFormat/>
    <w:rsid w:val="004A21F3"/>
    <w:pPr>
      <w:ind w:left="720"/>
      <w:contextualSpacing/>
    </w:pPr>
  </w:style>
  <w:style w:type="paragraph" w:customStyle="1" w:styleId="p">
    <w:name w:val="p"/>
    <w:basedOn w:val="Normal"/>
    <w:rsid w:val="00AC67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ixed-citation">
    <w:name w:val="mixed-citation"/>
    <w:basedOn w:val="DefaultParagraphFont"/>
    <w:rsid w:val="00AC677B"/>
  </w:style>
  <w:style w:type="character" w:customStyle="1" w:styleId="collab">
    <w:name w:val="collab"/>
    <w:basedOn w:val="DefaultParagraphFont"/>
    <w:rsid w:val="00AC677B"/>
  </w:style>
  <w:style w:type="character" w:customStyle="1" w:styleId="source">
    <w:name w:val="source"/>
    <w:basedOn w:val="DefaultParagraphFont"/>
    <w:rsid w:val="00AC677B"/>
  </w:style>
  <w:style w:type="character" w:customStyle="1" w:styleId="publisher-loc">
    <w:name w:val="publisher-loc"/>
    <w:basedOn w:val="DefaultParagraphFont"/>
    <w:rsid w:val="00AC677B"/>
  </w:style>
  <w:style w:type="character" w:customStyle="1" w:styleId="publisher-name">
    <w:name w:val="publisher-name"/>
    <w:basedOn w:val="DefaultParagraphFont"/>
    <w:rsid w:val="00AC677B"/>
  </w:style>
  <w:style w:type="character" w:customStyle="1" w:styleId="year">
    <w:name w:val="year"/>
    <w:basedOn w:val="DefaultParagraphFont"/>
    <w:rsid w:val="00AC677B"/>
  </w:style>
  <w:style w:type="character" w:customStyle="1" w:styleId="comment">
    <w:name w:val="comment"/>
    <w:basedOn w:val="DefaultParagraphFont"/>
    <w:rsid w:val="00AC677B"/>
  </w:style>
  <w:style w:type="character" w:styleId="Emphasis">
    <w:name w:val="Emphasis"/>
    <w:basedOn w:val="DefaultParagraphFont"/>
    <w:uiPriority w:val="20"/>
    <w:qFormat/>
    <w:rsid w:val="00AC677B"/>
    <w:rPr>
      <w:i/>
      <w:iCs/>
    </w:rPr>
  </w:style>
  <w:style w:type="character" w:customStyle="1" w:styleId="name">
    <w:name w:val="name"/>
    <w:basedOn w:val="DefaultParagraphFont"/>
    <w:rsid w:val="00AC677B"/>
  </w:style>
  <w:style w:type="character" w:customStyle="1" w:styleId="surname">
    <w:name w:val="surname"/>
    <w:basedOn w:val="DefaultParagraphFont"/>
    <w:rsid w:val="00AC677B"/>
  </w:style>
  <w:style w:type="character" w:customStyle="1" w:styleId="given-names">
    <w:name w:val="given-names"/>
    <w:basedOn w:val="DefaultParagraphFont"/>
    <w:rsid w:val="00AC677B"/>
  </w:style>
  <w:style w:type="character" w:customStyle="1" w:styleId="article-title">
    <w:name w:val="article-title"/>
    <w:basedOn w:val="DefaultParagraphFont"/>
    <w:rsid w:val="00AC677B"/>
  </w:style>
  <w:style w:type="character" w:customStyle="1" w:styleId="volume">
    <w:name w:val="volume"/>
    <w:basedOn w:val="DefaultParagraphFont"/>
    <w:rsid w:val="00AC677B"/>
  </w:style>
  <w:style w:type="character" w:customStyle="1" w:styleId="fpage">
    <w:name w:val="fpage"/>
    <w:basedOn w:val="DefaultParagraphFont"/>
    <w:rsid w:val="00AC677B"/>
  </w:style>
  <w:style w:type="character" w:customStyle="1" w:styleId="lpage">
    <w:name w:val="lpage"/>
    <w:basedOn w:val="DefaultParagraphFont"/>
    <w:rsid w:val="00AC677B"/>
  </w:style>
  <w:style w:type="character" w:styleId="Hyperlink">
    <w:name w:val="Hyperlink"/>
    <w:basedOn w:val="DefaultParagraphFont"/>
    <w:uiPriority w:val="99"/>
    <w:semiHidden/>
    <w:unhideWhenUsed/>
    <w:rsid w:val="00AC67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6</Pages>
  <Words>1559</Words>
  <Characters>8887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brammtedd@outlook.com</dc:creator>
  <cp:lastModifiedBy>David Mua</cp:lastModifiedBy>
  <cp:revision>5</cp:revision>
  <dcterms:created xsi:type="dcterms:W3CDTF">2021-09-26T14:58:00Z</dcterms:created>
  <dcterms:modified xsi:type="dcterms:W3CDTF">2021-09-28T18:56:00Z</dcterms:modified>
</cp:coreProperties>
</file>